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27725" w14:textId="77777777" w:rsidR="00C45AAB" w:rsidRPr="00C45AAB" w:rsidRDefault="00C45AAB" w:rsidP="00C45AAB">
      <w:pPr>
        <w:shd w:val="clear" w:color="auto" w:fill="FFFFFF"/>
        <w:spacing w:after="0" w:line="240" w:lineRule="auto"/>
        <w:outlineLvl w:val="0"/>
        <w:rPr>
          <w:rFonts w:eastAsia="Times New Roman" w:cstheme="minorHAnsi"/>
          <w:b/>
          <w:bCs/>
          <w:kern w:val="36"/>
          <w:sz w:val="28"/>
          <w:szCs w:val="28"/>
          <w:lang w:eastAsia="fr-BE"/>
        </w:rPr>
      </w:pPr>
      <w:r w:rsidRPr="00C45AAB">
        <w:rPr>
          <w:rFonts w:eastAsia="Times New Roman" w:cstheme="minorHAnsi"/>
          <w:b/>
          <w:bCs/>
          <w:kern w:val="36"/>
          <w:sz w:val="28"/>
          <w:szCs w:val="28"/>
          <w:lang w:eastAsia="fr-BE"/>
        </w:rPr>
        <w:t>Les primes sur l'aluminium bas carbone font leurs premiers pas sur le marché</w:t>
      </w:r>
    </w:p>
    <w:p w14:paraId="585661FA" w14:textId="77777777" w:rsidR="00C45AAB" w:rsidRPr="00C45AAB" w:rsidRDefault="00C45AAB" w:rsidP="00C45AAB">
      <w:pPr>
        <w:shd w:val="clear" w:color="auto" w:fill="FFFFFF"/>
        <w:spacing w:before="75" w:after="75" w:line="240" w:lineRule="auto"/>
        <w:jc w:val="both"/>
        <w:rPr>
          <w:rFonts w:eastAsia="Times New Roman" w:cstheme="minorHAnsi"/>
          <w:i/>
          <w:iCs/>
          <w:color w:val="000000"/>
          <w:sz w:val="24"/>
          <w:szCs w:val="24"/>
          <w:lang w:eastAsia="fr-BE"/>
        </w:rPr>
      </w:pPr>
    </w:p>
    <w:p w14:paraId="1BBF7446" w14:textId="6FEFA9EA" w:rsidR="00C45AAB" w:rsidRPr="00C45AAB" w:rsidRDefault="00C45AAB" w:rsidP="00C45AAB">
      <w:pPr>
        <w:shd w:val="clear" w:color="auto" w:fill="FFFFFF"/>
        <w:spacing w:before="75" w:after="75" w:line="240" w:lineRule="auto"/>
        <w:jc w:val="both"/>
        <w:rPr>
          <w:rFonts w:eastAsia="Times New Roman" w:cstheme="minorHAnsi"/>
          <w:color w:val="000000"/>
          <w:sz w:val="24"/>
          <w:szCs w:val="24"/>
          <w:lang w:eastAsia="fr-BE"/>
        </w:rPr>
      </w:pPr>
      <w:r w:rsidRPr="00C45AAB">
        <w:rPr>
          <w:rFonts w:eastAsia="Times New Roman" w:cstheme="minorHAnsi"/>
          <w:color w:val="000000"/>
          <w:sz w:val="24"/>
          <w:szCs w:val="24"/>
          <w:lang w:eastAsia="fr-BE"/>
        </w:rPr>
        <w:t>La revue spécialisée </w:t>
      </w:r>
      <w:proofErr w:type="spellStart"/>
      <w:r w:rsidRPr="00C45AAB">
        <w:rPr>
          <w:rFonts w:eastAsia="Times New Roman" w:cstheme="minorHAnsi"/>
          <w:i/>
          <w:iCs/>
          <w:color w:val="000000"/>
          <w:sz w:val="24"/>
          <w:szCs w:val="24"/>
          <w:lang w:eastAsia="fr-BE"/>
        </w:rPr>
        <w:t>Fastmarkets</w:t>
      </w:r>
      <w:proofErr w:type="spellEnd"/>
      <w:r w:rsidRPr="00C45AAB">
        <w:rPr>
          <w:rFonts w:eastAsia="Times New Roman" w:cstheme="minorHAnsi"/>
          <w:color w:val="000000"/>
          <w:sz w:val="24"/>
          <w:szCs w:val="24"/>
          <w:lang w:eastAsia="fr-BE"/>
        </w:rPr>
        <w:t> a publié vendredi 5 mars ses premières « variations » sur l’aluminium bas carbone européen. Restée à 0 aux termes au terme des négociations, la variation qu’il conviendrait d’appliquer aux lingots P1020 n’a fait aucune émule sur le marché. En revanche, quelques primes ont été nouées avec une surcote sur les billettes et les brames d’aluminium bas carbone. « </w:t>
      </w:r>
      <w:r w:rsidRPr="00C45AAB">
        <w:rPr>
          <w:rFonts w:eastAsia="Times New Roman" w:cstheme="minorHAnsi"/>
          <w:i/>
          <w:iCs/>
          <w:color w:val="000000"/>
          <w:sz w:val="24"/>
          <w:szCs w:val="24"/>
          <w:lang w:eastAsia="fr-BE"/>
        </w:rPr>
        <w:t>Cela reste très difficile d’imposer une surcote pour l’aluminium bas carbone, elle n’a pas décollé sur les lingots</w:t>
      </w:r>
      <w:r w:rsidRPr="00C45AAB">
        <w:rPr>
          <w:rFonts w:eastAsia="Times New Roman" w:cstheme="minorHAnsi"/>
          <w:color w:val="000000"/>
          <w:sz w:val="24"/>
          <w:szCs w:val="24"/>
          <w:lang w:eastAsia="fr-BE"/>
        </w:rPr>
        <w:t> », indique un trader, qui estime que les consommateurs ne sont pas encore prêts.</w:t>
      </w:r>
    </w:p>
    <w:p w14:paraId="1ADC6013" w14:textId="77777777" w:rsidR="00C45AAB" w:rsidRPr="00C45AAB" w:rsidRDefault="00C45AAB" w:rsidP="00C45AAB">
      <w:pPr>
        <w:shd w:val="clear" w:color="auto" w:fill="FFFFFF"/>
        <w:spacing w:before="75" w:after="75" w:line="240" w:lineRule="auto"/>
        <w:jc w:val="both"/>
        <w:rPr>
          <w:rFonts w:eastAsia="Times New Roman" w:cstheme="minorHAnsi"/>
          <w:color w:val="000000"/>
          <w:sz w:val="24"/>
          <w:szCs w:val="24"/>
          <w:lang w:eastAsia="fr-BE"/>
        </w:rPr>
      </w:pPr>
      <w:r w:rsidRPr="00C45AAB">
        <w:rPr>
          <w:rFonts w:eastAsia="Times New Roman" w:cstheme="minorHAnsi"/>
          <w:color w:val="000000"/>
          <w:sz w:val="24"/>
          <w:szCs w:val="24"/>
          <w:lang w:eastAsia="fr-BE"/>
        </w:rPr>
        <w:t>Une surcote de 5 $/t a, en revanche, été négociée pour un contrat à long terme sur l’aluminium bas carbone de première fusion. « </w:t>
      </w:r>
      <w:r w:rsidRPr="00C45AAB">
        <w:rPr>
          <w:rFonts w:eastAsia="Times New Roman" w:cstheme="minorHAnsi"/>
          <w:i/>
          <w:iCs/>
          <w:color w:val="000000"/>
          <w:sz w:val="24"/>
          <w:szCs w:val="24"/>
          <w:lang w:eastAsia="fr-BE"/>
        </w:rPr>
        <w:t>La surcote restera à zéro encore pendant un bout de temps. La demande en lingots ordinaires est soutenue. Les acheteurs ne sont pas prêts à débourser plus pour de l’aluminium bas carbone </w:t>
      </w:r>
      <w:r w:rsidRPr="00C45AAB">
        <w:rPr>
          <w:rFonts w:eastAsia="Times New Roman" w:cstheme="minorHAnsi"/>
          <w:color w:val="000000"/>
          <w:sz w:val="24"/>
          <w:szCs w:val="24"/>
          <w:lang w:eastAsia="fr-BE"/>
        </w:rPr>
        <w:t>», constate un autre trader, qui mentionne la hausse de 22% de la prime sur les lingots non dédouanés depuis le début de l’année.</w:t>
      </w:r>
    </w:p>
    <w:p w14:paraId="135E66B0" w14:textId="77777777" w:rsidR="00C45AAB" w:rsidRPr="00C45AAB" w:rsidRDefault="00C45AAB" w:rsidP="00C45AAB">
      <w:pPr>
        <w:shd w:val="clear" w:color="auto" w:fill="FFFFFF"/>
        <w:spacing w:before="75" w:after="75" w:line="240" w:lineRule="auto"/>
        <w:jc w:val="both"/>
        <w:rPr>
          <w:rFonts w:eastAsia="Times New Roman" w:cstheme="minorHAnsi"/>
          <w:color w:val="000000"/>
          <w:sz w:val="24"/>
          <w:szCs w:val="24"/>
          <w:lang w:eastAsia="fr-BE"/>
        </w:rPr>
      </w:pPr>
      <w:r w:rsidRPr="00C45AAB">
        <w:rPr>
          <w:rFonts w:eastAsia="Times New Roman" w:cstheme="minorHAnsi"/>
          <w:color w:val="000000"/>
          <w:sz w:val="24"/>
          <w:szCs w:val="24"/>
          <w:lang w:eastAsia="fr-BE"/>
        </w:rPr>
        <w:t xml:space="preserve">Les acheteurs ont, en revanche, consenti à s’acquitter de surcotes qui se sont échelonnées entre +5 et +15 $/t sur les produits bas carbone à haute valeur ajoutée, tels que les billettes ou les brames. </w:t>
      </w:r>
      <w:proofErr w:type="spellStart"/>
      <w:r w:rsidRPr="00C45AAB">
        <w:rPr>
          <w:rFonts w:eastAsia="Times New Roman" w:cstheme="minorHAnsi"/>
          <w:color w:val="000000"/>
          <w:sz w:val="24"/>
          <w:szCs w:val="24"/>
          <w:lang w:eastAsia="fr-BE"/>
        </w:rPr>
        <w:t>Fastmarkets</w:t>
      </w:r>
      <w:proofErr w:type="spellEnd"/>
      <w:r w:rsidRPr="00C45AAB">
        <w:rPr>
          <w:rFonts w:eastAsia="Times New Roman" w:cstheme="minorHAnsi"/>
          <w:color w:val="000000"/>
          <w:sz w:val="24"/>
          <w:szCs w:val="24"/>
          <w:lang w:eastAsia="fr-BE"/>
        </w:rPr>
        <w:t xml:space="preserve"> mentionne des contrats finalisés avec une surcote de +12 $/t pour </w:t>
      </w:r>
      <w:proofErr w:type="gramStart"/>
      <w:r w:rsidRPr="00C45AAB">
        <w:rPr>
          <w:rFonts w:eastAsia="Times New Roman" w:cstheme="minorHAnsi"/>
          <w:color w:val="000000"/>
          <w:sz w:val="24"/>
          <w:szCs w:val="24"/>
          <w:lang w:eastAsia="fr-BE"/>
        </w:rPr>
        <w:t>les brames bas carbone</w:t>
      </w:r>
      <w:proofErr w:type="gramEnd"/>
      <w:r w:rsidRPr="00C45AAB">
        <w:rPr>
          <w:rFonts w:eastAsia="Times New Roman" w:cstheme="minorHAnsi"/>
          <w:color w:val="000000"/>
          <w:sz w:val="24"/>
          <w:szCs w:val="24"/>
          <w:lang w:eastAsia="fr-BE"/>
        </w:rPr>
        <w:t xml:space="preserve"> et de +15 $/t pour les billettes bas carbone.</w:t>
      </w:r>
    </w:p>
    <w:p w14:paraId="279620BE" w14:textId="77777777" w:rsidR="00C45AAB" w:rsidRPr="00C45AAB" w:rsidRDefault="00C45AAB" w:rsidP="00C45AAB">
      <w:pPr>
        <w:shd w:val="clear" w:color="auto" w:fill="FFFFFF"/>
        <w:spacing w:before="75" w:after="75" w:line="240" w:lineRule="auto"/>
        <w:jc w:val="both"/>
        <w:rPr>
          <w:rFonts w:eastAsia="Times New Roman" w:cstheme="minorHAnsi"/>
          <w:color w:val="000000"/>
          <w:sz w:val="24"/>
          <w:szCs w:val="24"/>
          <w:lang w:eastAsia="fr-BE"/>
        </w:rPr>
      </w:pPr>
      <w:r w:rsidRPr="00C45AAB">
        <w:rPr>
          <w:rFonts w:eastAsia="Times New Roman" w:cstheme="minorHAnsi"/>
          <w:color w:val="000000"/>
          <w:sz w:val="24"/>
          <w:szCs w:val="24"/>
          <w:lang w:eastAsia="fr-BE"/>
        </w:rPr>
        <w:t>« </w:t>
      </w:r>
      <w:r w:rsidRPr="00C45AAB">
        <w:rPr>
          <w:rFonts w:eastAsia="Times New Roman" w:cstheme="minorHAnsi"/>
          <w:i/>
          <w:iCs/>
          <w:color w:val="000000"/>
          <w:sz w:val="24"/>
          <w:szCs w:val="24"/>
          <w:lang w:eastAsia="fr-BE"/>
        </w:rPr>
        <w:t xml:space="preserve">Les surcotes ont été mieux acceptées pour </w:t>
      </w:r>
      <w:proofErr w:type="gramStart"/>
      <w:r w:rsidRPr="00C45AAB">
        <w:rPr>
          <w:rFonts w:eastAsia="Times New Roman" w:cstheme="minorHAnsi"/>
          <w:i/>
          <w:iCs/>
          <w:color w:val="000000"/>
          <w:sz w:val="24"/>
          <w:szCs w:val="24"/>
          <w:lang w:eastAsia="fr-BE"/>
        </w:rPr>
        <w:t>les billettes bas carbone</w:t>
      </w:r>
      <w:proofErr w:type="gramEnd"/>
      <w:r w:rsidRPr="00C45AAB">
        <w:rPr>
          <w:rFonts w:eastAsia="Times New Roman" w:cstheme="minorHAnsi"/>
          <w:i/>
          <w:iCs/>
          <w:color w:val="000000"/>
          <w:sz w:val="24"/>
          <w:szCs w:val="24"/>
          <w:lang w:eastAsia="fr-BE"/>
        </w:rPr>
        <w:t>, ce qui atteste de la transparence de ce marché. Je m’attends à ce que plus de transactions de ce genre soient nouées sur les billettes au cours des prochaines semaines </w:t>
      </w:r>
      <w:r w:rsidRPr="00C45AAB">
        <w:rPr>
          <w:rFonts w:eastAsia="Times New Roman" w:cstheme="minorHAnsi"/>
          <w:color w:val="000000"/>
          <w:sz w:val="24"/>
          <w:szCs w:val="24"/>
          <w:lang w:eastAsia="fr-BE"/>
        </w:rPr>
        <w:t>», prévoit un producteur. Et ce, malgré le fait que plusieurs qualités de billettes existent. Les primes sur les billettes ordinaires atteignent des niveaux record en ce moment, à 550-590 $/t pour les billettes livrées en Allemagne, contre 480-510 $/t la semaine dernière, en raison de vives tensions sur les disponibilités.</w:t>
      </w:r>
    </w:p>
    <w:p w14:paraId="4572D258" w14:textId="77777777" w:rsidR="00C45AAB" w:rsidRPr="00C45AAB" w:rsidRDefault="00C45AAB" w:rsidP="00C45AAB">
      <w:pPr>
        <w:shd w:val="clear" w:color="auto" w:fill="FFFFFF"/>
        <w:spacing w:before="75" w:after="75" w:line="240" w:lineRule="auto"/>
        <w:jc w:val="both"/>
        <w:rPr>
          <w:rFonts w:eastAsia="Times New Roman" w:cstheme="minorHAnsi"/>
          <w:color w:val="000000"/>
          <w:sz w:val="24"/>
          <w:szCs w:val="24"/>
          <w:lang w:eastAsia="fr-BE"/>
        </w:rPr>
      </w:pPr>
      <w:r w:rsidRPr="00C45AAB">
        <w:rPr>
          <w:rFonts w:eastAsia="Times New Roman" w:cstheme="minorHAnsi"/>
          <w:color w:val="000000"/>
          <w:sz w:val="24"/>
          <w:szCs w:val="24"/>
          <w:lang w:eastAsia="fr-BE"/>
        </w:rPr>
        <w:t xml:space="preserve">La publication des primes est fixée au premier vendredi de chaque mois. La variation est, pour l’heure positive, parce que les </w:t>
      </w:r>
      <w:proofErr w:type="gramStart"/>
      <w:r w:rsidRPr="00C45AAB">
        <w:rPr>
          <w:rFonts w:eastAsia="Times New Roman" w:cstheme="minorHAnsi"/>
          <w:color w:val="000000"/>
          <w:sz w:val="24"/>
          <w:szCs w:val="24"/>
          <w:lang w:eastAsia="fr-BE"/>
        </w:rPr>
        <w:t>acheteurs  sont</w:t>
      </w:r>
      <w:proofErr w:type="gramEnd"/>
      <w:r w:rsidRPr="00C45AAB">
        <w:rPr>
          <w:rFonts w:eastAsia="Times New Roman" w:cstheme="minorHAnsi"/>
          <w:color w:val="000000"/>
          <w:sz w:val="24"/>
          <w:szCs w:val="24"/>
          <w:lang w:eastAsia="fr-BE"/>
        </w:rPr>
        <w:t>, dans leur grande majorité, réticents à débourser davantage, mais si l’Union européenne décidait de favoriser l’aluminium bas carbone, la variation pourrait alors devenir une décote.</w:t>
      </w:r>
    </w:p>
    <w:p w14:paraId="0EC2670A" w14:textId="77777777" w:rsidR="00A71709" w:rsidRPr="00C45AAB" w:rsidRDefault="00A71709">
      <w:pPr>
        <w:rPr>
          <w:rFonts w:cstheme="minorHAnsi"/>
          <w:sz w:val="24"/>
          <w:szCs w:val="24"/>
        </w:rPr>
      </w:pPr>
    </w:p>
    <w:sectPr w:rsidR="00A71709" w:rsidRPr="00C45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AB"/>
    <w:rsid w:val="00A71709"/>
    <w:rsid w:val="00B32E64"/>
    <w:rsid w:val="00C45A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1E35"/>
  <w15:chartTrackingRefBased/>
  <w15:docId w15:val="{45BE496F-F6E9-49ED-9122-CE435F22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6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2</cp:revision>
  <dcterms:created xsi:type="dcterms:W3CDTF">2021-03-10T06:44:00Z</dcterms:created>
  <dcterms:modified xsi:type="dcterms:W3CDTF">2021-03-10T06:44:00Z</dcterms:modified>
</cp:coreProperties>
</file>